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BA" w:rsidRPr="00315CED" w:rsidRDefault="00810CC2" w:rsidP="004C53E4">
      <w:pPr>
        <w:spacing w:after="0" w:line="240" w:lineRule="auto"/>
        <w:ind w:left="9639"/>
        <w:jc w:val="right"/>
        <w:rPr>
          <w:rFonts w:ascii="Arial" w:hAnsi="Arial" w:cs="Arial"/>
          <w:b/>
          <w:bCs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bCs/>
          <w:sz w:val="20"/>
          <w:szCs w:val="20"/>
          <w:lang w:val="uz-Cyrl-UZ"/>
        </w:rPr>
        <w:t>49</w:t>
      </w:r>
      <w:r w:rsidR="009D6FBA" w:rsidRPr="00315CED">
        <w:rPr>
          <w:rFonts w:ascii="Arial" w:hAnsi="Arial" w:cs="Arial"/>
          <w:b/>
          <w:bCs/>
          <w:sz w:val="20"/>
          <w:szCs w:val="20"/>
          <w:lang w:val="uz-Cyrl-UZ"/>
        </w:rPr>
        <w:t>-</w:t>
      </w:r>
      <w:r w:rsidR="001E2597" w:rsidRPr="00315CED">
        <w:rPr>
          <w:rFonts w:ascii="Arial" w:hAnsi="Arial" w:cs="Arial"/>
          <w:b/>
          <w:bCs/>
          <w:sz w:val="20"/>
          <w:szCs w:val="20"/>
          <w:lang w:val="uz-Cyrl-UZ"/>
        </w:rPr>
        <w:t>ILOVA</w:t>
      </w:r>
    </w:p>
    <w:p w:rsidR="00FA259A" w:rsidRPr="00315CED" w:rsidRDefault="00FA259A" w:rsidP="001E2597">
      <w:pPr>
        <w:spacing w:after="0" w:line="240" w:lineRule="auto"/>
        <w:ind w:left="10632"/>
        <w:rPr>
          <w:rFonts w:ascii="Arial" w:hAnsi="Arial" w:cs="Arial"/>
          <w:sz w:val="20"/>
          <w:szCs w:val="20"/>
          <w:lang w:val="uz-Cyrl-UZ"/>
        </w:rPr>
      </w:pPr>
    </w:p>
    <w:p w:rsidR="00172866" w:rsidRPr="00315CED" w:rsidRDefault="00172866" w:rsidP="001E2597">
      <w:pPr>
        <w:spacing w:after="0" w:line="240" w:lineRule="auto"/>
        <w:rPr>
          <w:rFonts w:ascii="Arial" w:hAnsi="Arial" w:cs="Arial"/>
          <w:b/>
          <w:sz w:val="20"/>
          <w:szCs w:val="20"/>
          <w:lang w:val="uz-Cyrl-UZ"/>
        </w:rPr>
      </w:pPr>
    </w:p>
    <w:p w:rsidR="006C6E85" w:rsidRPr="00315CED" w:rsidRDefault="001852E3" w:rsidP="004C53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sz w:val="20"/>
          <w:szCs w:val="20"/>
          <w:lang w:val="uz-Cyrl-UZ"/>
        </w:rPr>
        <w:t>“O‘ZBEKKO‘MIR” AJ TARKIBIDAGI KORXONALAR NOMI, FAOLIYAT TURI, FUNKSIYA VA VAKOLATLARI HAMDA RAHBARLARI TO‘G‘RISIDAGI MA’LUMOTLAR</w:t>
      </w:r>
    </w:p>
    <w:p w:rsidR="004C53E4" w:rsidRPr="00315CED" w:rsidRDefault="004C53E4" w:rsidP="004C53E4">
      <w:pPr>
        <w:spacing w:before="160" w:line="240" w:lineRule="auto"/>
        <w:jc w:val="right"/>
        <w:rPr>
          <w:rFonts w:ascii="Arial" w:hAnsi="Arial" w:cs="Arial"/>
          <w:sz w:val="20"/>
          <w:szCs w:val="20"/>
          <w:lang w:val="uz-Cyrl-UZ"/>
        </w:rPr>
      </w:pPr>
      <w:r w:rsidRPr="00315CED">
        <w:rPr>
          <w:rFonts w:ascii="Arial" w:hAnsi="Arial" w:cs="Arial"/>
          <w:sz w:val="20"/>
          <w:szCs w:val="20"/>
          <w:lang w:val="uz-Cyrl-UZ"/>
        </w:rPr>
        <w:t>202</w:t>
      </w:r>
      <w:r w:rsidR="00F349AE" w:rsidRPr="00315CED">
        <w:rPr>
          <w:rFonts w:ascii="Arial" w:hAnsi="Arial" w:cs="Arial"/>
          <w:sz w:val="20"/>
          <w:szCs w:val="20"/>
          <w:lang w:val="en-US"/>
        </w:rPr>
        <w:t>6</w:t>
      </w:r>
      <w:r w:rsidRPr="00315CED">
        <w:rPr>
          <w:rFonts w:ascii="Arial" w:hAnsi="Arial" w:cs="Arial"/>
          <w:sz w:val="20"/>
          <w:szCs w:val="20"/>
          <w:lang w:val="uz-Cyrl-UZ"/>
        </w:rPr>
        <w:t>-yil 1-</w:t>
      </w:r>
      <w:r w:rsidR="00227F62" w:rsidRPr="00315CED">
        <w:rPr>
          <w:rFonts w:ascii="Arial" w:hAnsi="Arial" w:cs="Arial"/>
          <w:sz w:val="20"/>
          <w:szCs w:val="20"/>
          <w:lang w:val="uz-Latn-UZ"/>
        </w:rPr>
        <w:t>aprel</w:t>
      </w:r>
      <w:r w:rsidRPr="00315CED">
        <w:rPr>
          <w:rFonts w:ascii="Arial" w:hAnsi="Arial" w:cs="Arial"/>
          <w:sz w:val="20"/>
          <w:szCs w:val="20"/>
          <w:lang w:val="uz-Cyrl-UZ"/>
        </w:rPr>
        <w:t xml:space="preserve"> holatiga</w:t>
      </w:r>
    </w:p>
    <w:tbl>
      <w:tblPr>
        <w:tblStyle w:val="a3"/>
        <w:tblW w:w="16155" w:type="dxa"/>
        <w:tblLayout w:type="fixed"/>
        <w:tblLook w:val="04A0" w:firstRow="1" w:lastRow="0" w:firstColumn="1" w:lastColumn="0" w:noHBand="0" w:noVBand="1"/>
      </w:tblPr>
      <w:tblGrid>
        <w:gridCol w:w="552"/>
        <w:gridCol w:w="1853"/>
        <w:gridCol w:w="2410"/>
        <w:gridCol w:w="3827"/>
        <w:gridCol w:w="2126"/>
        <w:gridCol w:w="1701"/>
        <w:gridCol w:w="1276"/>
        <w:gridCol w:w="992"/>
        <w:gridCol w:w="1418"/>
      </w:tblGrid>
      <w:tr w:rsidR="00DF7734" w:rsidRPr="006409C9" w:rsidTr="006409C9">
        <w:trPr>
          <w:trHeight w:val="280"/>
        </w:trPr>
        <w:tc>
          <w:tcPr>
            <w:tcW w:w="552" w:type="dxa"/>
            <w:vMerge w:val="restart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/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1853" w:type="dxa"/>
            <w:vMerge w:val="restart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Tarkibidagi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davlat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muassasalarining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nomi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(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tarkibiy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tuzilma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,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hududiy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boshqarma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,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bo‘lim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va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boshqalar</w:t>
            </w:r>
            <w:r w:rsidR="00DF7734"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Faoliyat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turi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Funksiya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va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vakolatlari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7513" w:type="dxa"/>
            <w:gridSpan w:val="5"/>
            <w:shd w:val="clear" w:color="auto" w:fill="DEEAF6" w:themeFill="accent1" w:themeFillTint="33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Rahbar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to‘g‘risidagi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ma’lumotlar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DF7734" w:rsidRPr="00315CED" w:rsidTr="006409C9">
        <w:trPr>
          <w:trHeight w:val="365"/>
        </w:trPr>
        <w:tc>
          <w:tcPr>
            <w:tcW w:w="552" w:type="dxa"/>
            <w:vMerge/>
            <w:shd w:val="clear" w:color="auto" w:fill="DEEAF6" w:themeFill="accent1" w:themeFillTint="33"/>
            <w:vAlign w:val="center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53" w:type="dxa"/>
            <w:vMerge/>
            <w:shd w:val="clear" w:color="auto" w:fill="DEEAF6" w:themeFill="accent1" w:themeFillTint="33"/>
            <w:vAlign w:val="center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  <w:vAlign w:val="center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  <w:tc>
          <w:tcPr>
            <w:tcW w:w="3827" w:type="dxa"/>
            <w:vMerge/>
            <w:shd w:val="clear" w:color="auto" w:fill="DEEAF6" w:themeFill="accent1" w:themeFillTint="33"/>
            <w:vAlign w:val="center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Rahbarning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F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.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.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Sh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Telefon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Pochta</w:t>
            </w:r>
          </w:p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va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boshqa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elektron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manzili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Ijtimoiy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tarmoqlardagi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rasmiy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sahifalari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DF7734" w:rsidRPr="00315CED" w:rsidRDefault="001E259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Qabul</w:t>
            </w:r>
            <w:r w:rsidR="00DF7734"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 </w:t>
            </w: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kunlari</w:t>
            </w:r>
          </w:p>
        </w:tc>
      </w:tr>
      <w:tr w:rsidR="00DF7734" w:rsidRPr="00315CED" w:rsidTr="006409C9">
        <w:tc>
          <w:tcPr>
            <w:tcW w:w="552" w:type="dxa"/>
            <w:shd w:val="clear" w:color="auto" w:fill="FFFFFF" w:themeFill="background1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53" w:type="dxa"/>
            <w:shd w:val="clear" w:color="auto" w:fill="FFFFFF" w:themeFill="background1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827" w:type="dxa"/>
            <w:shd w:val="clear" w:color="auto" w:fill="FFFFFF" w:themeFill="background1"/>
          </w:tcPr>
          <w:p w:rsidR="00DF7734" w:rsidRPr="00315CED" w:rsidRDefault="00DF7734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DF7734" w:rsidRPr="00315CED" w:rsidRDefault="00D50287" w:rsidP="001E2597">
            <w:pPr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86650E" w:rsidRPr="00315CED" w:rsidTr="006409C9">
        <w:tc>
          <w:tcPr>
            <w:tcW w:w="552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53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“Angren ko‘mir koni” filiali</w:t>
            </w:r>
          </w:p>
        </w:tc>
        <w:tc>
          <w:tcPr>
            <w:tcW w:w="2410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Ko‘mir, kaolin va boshqa yo‘ldosh foydali qazilmalarni qazib olish bo‘yicha faoliyatni amalga oshiradi, shuningdek turli xizmatlar va ishlarni bajaradi.</w:t>
            </w:r>
          </w:p>
        </w:tc>
        <w:tc>
          <w:tcPr>
            <w:tcW w:w="3827" w:type="dxa"/>
            <w:shd w:val="clear" w:color="auto" w:fill="FFFFFF" w:themeFill="background1"/>
          </w:tcPr>
          <w:p w:rsidR="0086650E" w:rsidRPr="00315CED" w:rsidRDefault="00361CB2" w:rsidP="00361CB2">
            <w:pPr>
              <w:spacing w:before="100" w:beforeAutospacing="1" w:after="100" w:afterAutospacing="1"/>
              <w:ind w:left="33"/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Ustki qatlamni ochish, ko‘mir, kaolin va boshqa yo‘ldosh foydali qazilmalarni qazib olish, ularni alohida saqlash hamda iste’molchilarga belgilangan tartibda yetkazib berish; </w:t>
            </w:r>
          </w:p>
          <w:p w:rsidR="0086650E" w:rsidRPr="00315CED" w:rsidRDefault="00361CB2" w:rsidP="00361CB2">
            <w:pPr>
              <w:spacing w:before="100" w:beforeAutospacing="1" w:after="100" w:afterAutospacing="1"/>
              <w:ind w:left="33"/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Filialning ishlab chiqarish, ijtimoiy va iqtisodiy faoliyatini doimiy nazorat qilish. </w:t>
            </w:r>
          </w:p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61CB2" w:rsidRPr="00361CB2" w:rsidRDefault="00361CB2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61CB2" w:rsidRPr="00361CB2" w:rsidRDefault="00361CB2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Ismanov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Ruslan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Maksutovich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86650E" w:rsidRPr="006409C9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(9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)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380-</w:t>
            </w:r>
            <w:r w:rsidR="006409C9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четверг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10-88</w:t>
            </w:r>
            <w:r w:rsidR="006409C9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1ё5 18</w:t>
            </w:r>
          </w:p>
        </w:tc>
        <w:tc>
          <w:tcPr>
            <w:tcW w:w="1276" w:type="dxa"/>
            <w:shd w:val="clear" w:color="auto" w:fill="FFFFFF" w:themeFill="background1"/>
          </w:tcPr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86650E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  <w:hyperlink r:id="rId6" w:history="1">
              <w:r w:rsidRPr="000027D3">
                <w:rPr>
                  <w:rStyle w:val="a7"/>
                  <w:rFonts w:ascii="Arial" w:hAnsi="Arial" w:cs="Arial"/>
                  <w:bCs/>
                  <w:sz w:val="20"/>
                  <w:szCs w:val="20"/>
                  <w:lang w:val="uz-Latn-UZ"/>
                </w:rPr>
                <w:t>Ruismanov3007@gmail.com</w:t>
              </w:r>
            </w:hyperlink>
          </w:p>
          <w:p w:rsidR="006409C9" w:rsidRDefault="006409C9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6409C9" w:rsidRP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650E" w:rsidRPr="00315CED" w:rsidRDefault="0086650E" w:rsidP="0086650E">
            <w:pPr>
              <w:ind w:right="-252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409C9" w:rsidRDefault="006409C9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409C9" w:rsidRDefault="006409C9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86650E" w:rsidRPr="00315CED" w:rsidRDefault="0086650E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Seshanba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  <w:p w:rsidR="0086650E" w:rsidRPr="00315CED" w:rsidRDefault="0086650E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Payshanba</w:t>
            </w:r>
            <w:proofErr w:type="spellEnd"/>
          </w:p>
          <w:p w:rsidR="0086650E" w:rsidRPr="00315CED" w:rsidRDefault="0086650E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:00 dan </w:t>
            </w:r>
          </w:p>
          <w:p w:rsidR="0086650E" w:rsidRPr="00315CED" w:rsidRDefault="0086650E" w:rsidP="0086650E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11:00 gacha</w:t>
            </w:r>
          </w:p>
        </w:tc>
      </w:tr>
      <w:tr w:rsidR="005C4E17" w:rsidRPr="00315CED" w:rsidTr="006409C9">
        <w:tc>
          <w:tcPr>
            <w:tcW w:w="552" w:type="dxa"/>
            <w:shd w:val="clear" w:color="auto" w:fill="FFFFFF" w:themeFill="background1"/>
          </w:tcPr>
          <w:p w:rsidR="005C4E17" w:rsidRPr="00315CED" w:rsidRDefault="005C4E17" w:rsidP="005C4E17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853" w:type="dxa"/>
            <w:shd w:val="clear" w:color="auto" w:fill="FFFFFF" w:themeFill="background1"/>
          </w:tcPr>
          <w:p w:rsidR="005C4E17" w:rsidRPr="00315CED" w:rsidRDefault="005C4E17" w:rsidP="005C4E17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</w:t>
            </w:r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ransport” filiali</w:t>
            </w:r>
          </w:p>
        </w:tc>
        <w:tc>
          <w:tcPr>
            <w:tcW w:w="2410" w:type="dxa"/>
            <w:shd w:val="clear" w:color="auto" w:fill="FFFFFF" w:themeFill="background1"/>
          </w:tcPr>
          <w:p w:rsidR="00361CB2" w:rsidRPr="00361CB2" w:rsidRDefault="00361CB2" w:rsidP="00361CB2">
            <w:pPr>
              <w:pStyle w:val="a5"/>
              <w:rPr>
                <w:lang w:val="en-US"/>
              </w:rPr>
            </w:pPr>
            <w:r w:rsidRPr="00361CB2">
              <w:rPr>
                <w:lang w:val="en-US"/>
              </w:rPr>
              <w:t xml:space="preserve">Filial </w:t>
            </w:r>
            <w:proofErr w:type="spellStart"/>
            <w:r w:rsidRPr="00361CB2">
              <w:rPr>
                <w:lang w:val="en-US"/>
              </w:rPr>
              <w:t>temir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proofErr w:type="gramStart"/>
            <w:r w:rsidRPr="00361CB2">
              <w:rPr>
                <w:lang w:val="en-US"/>
              </w:rPr>
              <w:t>yo‘</w:t>
            </w:r>
            <w:proofErr w:type="gramEnd"/>
            <w:r w:rsidRPr="00361CB2">
              <w:rPr>
                <w:lang w:val="en-US"/>
              </w:rPr>
              <w:t>l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va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avtomobil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transporti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orqali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xizmat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ko‘rsatishni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amalga</w:t>
            </w:r>
            <w:proofErr w:type="spellEnd"/>
            <w:r w:rsidRPr="00361CB2">
              <w:rPr>
                <w:lang w:val="en-US"/>
              </w:rPr>
              <w:t xml:space="preserve"> </w:t>
            </w:r>
            <w:proofErr w:type="spellStart"/>
            <w:r w:rsidRPr="00361CB2">
              <w:rPr>
                <w:lang w:val="en-US"/>
              </w:rPr>
              <w:t>oshiradi</w:t>
            </w:r>
            <w:proofErr w:type="spellEnd"/>
            <w:r w:rsidRPr="00361CB2">
              <w:rPr>
                <w:lang w:val="en-US"/>
              </w:rPr>
              <w:t>.</w:t>
            </w:r>
          </w:p>
          <w:p w:rsidR="005C4E17" w:rsidRPr="00361CB2" w:rsidRDefault="005C4E17" w:rsidP="00361CB2">
            <w:pPr>
              <w:pStyle w:val="a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C4E17" w:rsidRPr="00361CB2" w:rsidRDefault="00361CB2" w:rsidP="00DC5701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61CB2">
              <w:rPr>
                <w:lang w:val="uz-Cyrl-UZ"/>
              </w:rPr>
              <w:t xml:space="preserve">Temir yo‘l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avtomobil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transporti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orqali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ko‘mir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tog‘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jinslari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yuklarni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shuningdek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yo‘lovchilarni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tashish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temir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yo‘l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infratuzilmasi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aloqa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tarmoqlarini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qurish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hamda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ta’mirlash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harakatdagi</w:t>
            </w:r>
            <w:r w:rsidRPr="00361CB2">
              <w:rPr>
                <w:lang w:val="uz-Cyrl-UZ"/>
              </w:rPr>
              <w:t xml:space="preserve"> </w:t>
            </w:r>
            <w:proofErr w:type="spellStart"/>
            <w:r w:rsidR="00DC5701">
              <w:rPr>
                <w:lang w:val="en-US"/>
              </w:rPr>
              <w:t>tarkib</w:t>
            </w:r>
            <w:proofErr w:type="spellEnd"/>
            <w:r w:rsidR="00DC5701">
              <w:rPr>
                <w:lang w:val="en-US"/>
              </w:rPr>
              <w:t xml:space="preserve"> v</w:t>
            </w:r>
            <w:r>
              <w:rPr>
                <w:lang w:val="uz-Cyrl-UZ"/>
              </w:rPr>
              <w:t>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texnikalarga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xizmat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shug‘ullanadi</w:t>
            </w:r>
            <w:r w:rsidRPr="00361CB2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Shuningdek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jamiyat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kelishilgan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holda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amaldagi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qonun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hujjatlari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Jamiyat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Ustaviga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muvofiq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mahsulot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yetkazib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berish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turlarini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amalga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oshiradi</w:t>
            </w:r>
            <w:r w:rsidRPr="00361CB2">
              <w:rPr>
                <w:lang w:val="uz-Cyrl-UZ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61CB2" w:rsidRPr="00361CB2" w:rsidRDefault="00361CB2" w:rsidP="005C4E17">
            <w:pPr>
              <w:rPr>
                <w:lang w:val="uz-Cyrl-UZ"/>
              </w:rPr>
            </w:pPr>
          </w:p>
          <w:p w:rsidR="00361CB2" w:rsidRPr="00361CB2" w:rsidRDefault="00361CB2" w:rsidP="005C4E17">
            <w:pPr>
              <w:rPr>
                <w:lang w:val="uz-Cyrl-UZ"/>
              </w:rPr>
            </w:pPr>
          </w:p>
          <w:p w:rsidR="005C4E17" w:rsidRPr="00315CED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6409C9">
              <w:t>Akimov</w:t>
            </w:r>
            <w:proofErr w:type="spellEnd"/>
            <w:r w:rsidRPr="006409C9">
              <w:t xml:space="preserve"> </w:t>
            </w:r>
            <w:proofErr w:type="spellStart"/>
            <w:r w:rsidRPr="006409C9">
              <w:t>Yuriy</w:t>
            </w:r>
            <w:proofErr w:type="spellEnd"/>
            <w:r w:rsidRPr="006409C9">
              <w:t xml:space="preserve"> </w:t>
            </w:r>
            <w:proofErr w:type="spellStart"/>
            <w:r w:rsidRPr="006409C9">
              <w:t>Valentinovich</w:t>
            </w:r>
            <w:proofErr w:type="spellEnd"/>
            <w:r w:rsidRPr="006409C9">
              <w:t xml:space="preserve">  </w:t>
            </w:r>
          </w:p>
        </w:tc>
        <w:tc>
          <w:tcPr>
            <w:tcW w:w="1701" w:type="dxa"/>
            <w:shd w:val="clear" w:color="auto" w:fill="FFFFFF" w:themeFill="background1"/>
          </w:tcPr>
          <w:p w:rsidR="006409C9" w:rsidRDefault="006409C9" w:rsidP="005C4E17"/>
          <w:p w:rsidR="006409C9" w:rsidRDefault="006409C9" w:rsidP="005C4E17"/>
          <w:p w:rsidR="005C4E17" w:rsidRPr="00315CED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6409C9">
              <w:t>(93) 259-60-07</w:t>
            </w:r>
          </w:p>
        </w:tc>
        <w:tc>
          <w:tcPr>
            <w:tcW w:w="1276" w:type="dxa"/>
            <w:shd w:val="clear" w:color="auto" w:fill="FFFFFF" w:themeFill="background1"/>
          </w:tcPr>
          <w:p w:rsid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C4E17" w:rsidRP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hyperlink r:id="rId7" w:history="1">
              <w:r w:rsidRPr="000027D3">
                <w:rPr>
                  <w:rStyle w:val="a7"/>
                  <w:rFonts w:ascii="Arial" w:hAnsi="Arial" w:cs="Arial"/>
                  <w:bCs/>
                  <w:sz w:val="20"/>
                  <w:szCs w:val="20"/>
                  <w:lang w:val="en-US"/>
                </w:rPr>
                <w:t>Akimov220975@gmail.kom</w:t>
              </w:r>
            </w:hyperlink>
          </w:p>
        </w:tc>
        <w:tc>
          <w:tcPr>
            <w:tcW w:w="992" w:type="dxa"/>
            <w:shd w:val="clear" w:color="auto" w:fill="FFFFFF" w:themeFill="background1"/>
          </w:tcPr>
          <w:p w:rsidR="005C4E17" w:rsidRPr="00315CED" w:rsidRDefault="005C4E17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409C9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409C9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C4E17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Payshanba</w:t>
            </w:r>
            <w:proofErr w:type="spellEnd"/>
          </w:p>
          <w:p w:rsidR="006409C9" w:rsidRDefault="006409C9" w:rsidP="005C4E1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Soat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16:00dan</w:t>
            </w:r>
          </w:p>
          <w:p w:rsidR="006409C9" w:rsidRPr="006409C9" w:rsidRDefault="006409C9" w:rsidP="0064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18:00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gacha</w:t>
            </w:r>
            <w:proofErr w:type="spellEnd"/>
          </w:p>
        </w:tc>
      </w:tr>
      <w:tr w:rsidR="00E876D2" w:rsidRPr="006409C9" w:rsidTr="006409C9">
        <w:tc>
          <w:tcPr>
            <w:tcW w:w="552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53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“Tog‘-transport uskunalarini sozlash zavodi” filiali</w:t>
            </w:r>
          </w:p>
        </w:tc>
        <w:tc>
          <w:tcPr>
            <w:tcW w:w="2410" w:type="dxa"/>
            <w:shd w:val="clear" w:color="auto" w:fill="FFFFFF" w:themeFill="background1"/>
          </w:tcPr>
          <w:p w:rsidR="00E876D2" w:rsidRPr="00315CED" w:rsidRDefault="00E876D2" w:rsidP="00E876D2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 xml:space="preserve">Korxona ochiq usulda ko‘mir qazib olish texnikalari va uskunalarini (ekskavatorlar, tortish agregatlari, yuklash qurilmalari, konveyer </w:t>
            </w: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lastRenderedPageBreak/>
              <w:t>liniyalari) ta’mirlash va qayta tiklash, ularning ehtiyot qismlarini ishlab chiqarish bilan shug‘ullanadi.</w:t>
            </w:r>
          </w:p>
          <w:p w:rsidR="00E876D2" w:rsidRPr="00315CED" w:rsidRDefault="00E876D2" w:rsidP="00315CED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Shuningdek, turli quvvatdagi elektr dvigatellarini ta’mirlash va sinovdan o‘tkazish, kislorod gazini to‘ldirish va yetkazib berish hamda turli konstruksiyalarni yig‘ish va ishlab chiqarish bo‘yicha xizmatlar ko‘rsatadi.</w:t>
            </w:r>
          </w:p>
        </w:tc>
        <w:tc>
          <w:tcPr>
            <w:tcW w:w="3827" w:type="dxa"/>
            <w:shd w:val="clear" w:color="auto" w:fill="FFFFFF" w:themeFill="background1"/>
          </w:tcPr>
          <w:p w:rsidR="00361CB2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lastRenderedPageBreak/>
              <w:t xml:space="preserve">– 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Filialda ishlab chiqarishning zarur texnik tayyorgarlik darajasini ta’minlash va oshirish; </w:t>
            </w:r>
          </w:p>
          <w:p w:rsidR="00E876D2" w:rsidRPr="00361CB2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 w:rsidRPr="00361C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– 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Mehnat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samaradorligini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oshirish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xarajatlarni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kamaytirish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mahsulot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sifatini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yaxshilash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lastRenderedPageBreak/>
              <w:t xml:space="preserve">–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Avtomatlashtirish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vositalarini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joriy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mehnat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normativlarini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texnologik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jarayonlarni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61CB2" w:rsidRDefault="00361CB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61CB2" w:rsidRDefault="00361CB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Kamalov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Davron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Saydkasimovich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6409C9" w:rsidRDefault="006409C9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(93) 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8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7-07-46</w:t>
            </w:r>
          </w:p>
        </w:tc>
        <w:tc>
          <w:tcPr>
            <w:tcW w:w="1276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09C9" w:rsidRDefault="006409C9" w:rsidP="00E876D2">
            <w:pPr>
              <w:ind w:right="-252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E876D2">
            <w:pPr>
              <w:ind w:right="-252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E876D2" w:rsidRPr="00315CED" w:rsidRDefault="00E876D2" w:rsidP="00E876D2">
            <w:pPr>
              <w:ind w:right="-252"/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409C9" w:rsidRDefault="006409C9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409C9" w:rsidRDefault="006409C9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876D2" w:rsidRPr="00315CED" w:rsidRDefault="00E876D2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Seshanba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:rsidR="00E876D2" w:rsidRPr="00315CED" w:rsidRDefault="00E876D2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Soat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:rsidR="00E876D2" w:rsidRPr="00315CED" w:rsidRDefault="00E876D2" w:rsidP="00E876D2">
            <w:pPr>
              <w:ind w:right="-252" w:firstLine="2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16.00-dan 17.00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ga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qadar</w:t>
            </w:r>
            <w:proofErr w:type="spellEnd"/>
          </w:p>
        </w:tc>
      </w:tr>
      <w:tr w:rsidR="00315CED" w:rsidRPr="00315CED" w:rsidTr="006409C9">
        <w:trPr>
          <w:trHeight w:val="643"/>
        </w:trPr>
        <w:tc>
          <w:tcPr>
            <w:tcW w:w="552" w:type="dxa"/>
            <w:shd w:val="clear" w:color="auto" w:fill="FFFFFF" w:themeFill="background1"/>
          </w:tcPr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853" w:type="dxa"/>
            <w:shd w:val="clear" w:color="auto" w:fill="FFFFFF" w:themeFill="background1"/>
          </w:tcPr>
          <w:p w:rsidR="00315CED" w:rsidRPr="00315CED" w:rsidRDefault="00315CED" w:rsidP="00315CED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“Energ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etika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 xml:space="preserve"> tarmoqlari” filiali</w:t>
            </w:r>
          </w:p>
        </w:tc>
        <w:tc>
          <w:tcPr>
            <w:tcW w:w="2410" w:type="dxa"/>
            <w:shd w:val="clear" w:color="auto" w:fill="FFFFFF" w:themeFill="background1"/>
          </w:tcPr>
          <w:p w:rsidR="00315CED" w:rsidRPr="00315CED" w:rsidRDefault="00315CED" w:rsidP="00315CED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Elektr energiyasi bilan uzluksiz ta’minlash, taksimlash va yetkazib berishi</w:t>
            </w:r>
          </w:p>
        </w:tc>
        <w:tc>
          <w:tcPr>
            <w:tcW w:w="3827" w:type="dxa"/>
            <w:shd w:val="clear" w:color="auto" w:fill="FFFFFF" w:themeFill="background1"/>
          </w:tcPr>
          <w:p w:rsidR="00315CED" w:rsidRPr="00361CB2" w:rsidRDefault="00361CB2" w:rsidP="00315CED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61CB2">
              <w:rPr>
                <w:lang w:val="uz-Cyrl-UZ"/>
              </w:rPr>
              <w:t>– “O‘zbekko‘mir” AJ</w:t>
            </w:r>
            <w:r>
              <w:rPr>
                <w:lang w:val="uz-Cyrl-UZ"/>
              </w:rPr>
              <w:t>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qarashli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korxona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tashkilotlarni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uzluksiz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elektr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energiyasi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ta’minlash</w:t>
            </w:r>
            <w:r w:rsidRPr="00361CB2">
              <w:rPr>
                <w:lang w:val="uz-Cyrl-UZ"/>
              </w:rPr>
              <w:t>;</w:t>
            </w:r>
            <w:r w:rsidRPr="00361CB2">
              <w:rPr>
                <w:lang w:val="uz-Cyrl-UZ"/>
              </w:rPr>
              <w:br/>
              <w:t xml:space="preserve">– </w:t>
            </w:r>
            <w:r>
              <w:rPr>
                <w:lang w:val="uz-Cyrl-UZ"/>
              </w:rPr>
              <w:t>podstansiyalar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yuqori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kuchlanishli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elektr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uzatish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liniyalari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taqsimlash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moslamalari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jihozlardan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foydalanish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hamda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ularga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texnik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xizmat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ko‘rsatish</w:t>
            </w:r>
            <w:r w:rsidRPr="00361CB2">
              <w:rPr>
                <w:lang w:val="uz-Cyrl-UZ"/>
              </w:rPr>
              <w:t>;</w:t>
            </w:r>
            <w:r w:rsidRPr="00361CB2">
              <w:rPr>
                <w:lang w:val="uz-Cyrl-UZ"/>
              </w:rPr>
              <w:br/>
              <w:t xml:space="preserve">– </w:t>
            </w:r>
            <w:r>
              <w:rPr>
                <w:lang w:val="uz-Cyrl-UZ"/>
              </w:rPr>
              <w:t>himoya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vositalarini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sinovdan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o‘tkazish</w:t>
            </w:r>
            <w:r w:rsidRPr="00361CB2">
              <w:rPr>
                <w:lang w:val="uz-Cyrl-UZ"/>
              </w:rPr>
              <w:t>;</w:t>
            </w:r>
            <w:r w:rsidRPr="00361CB2">
              <w:rPr>
                <w:lang w:val="uz-Cyrl-UZ"/>
              </w:rPr>
              <w:br/>
              <w:t xml:space="preserve">– </w:t>
            </w:r>
            <w:r>
              <w:rPr>
                <w:lang w:val="uz-Cyrl-UZ"/>
              </w:rPr>
              <w:t>elektr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uzatish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liniyalarini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montaj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demontaj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</w:t>
            </w:r>
            <w:r w:rsidRPr="00361CB2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ularga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texnik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xizmat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ko‘rsatish</w:t>
            </w:r>
            <w:r w:rsidRPr="00361CB2">
              <w:rPr>
                <w:lang w:val="uz-Cyrl-UZ"/>
              </w:rPr>
              <w:t>;</w:t>
            </w:r>
            <w:r w:rsidRPr="00361CB2">
              <w:rPr>
                <w:lang w:val="uz-Cyrl-UZ"/>
              </w:rPr>
              <w:br/>
              <w:t xml:space="preserve">– </w:t>
            </w:r>
            <w:r>
              <w:rPr>
                <w:lang w:val="uz-Cyrl-UZ"/>
              </w:rPr>
              <w:t>elektr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jihozlariga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texnik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xizmat</w:t>
            </w:r>
            <w:r w:rsidRPr="00361C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ko‘rsatish</w:t>
            </w:r>
            <w:r w:rsidRPr="00361CB2">
              <w:rPr>
                <w:lang w:val="uz-Cyrl-UZ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61CB2" w:rsidRDefault="00361CB2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61CB2" w:rsidRDefault="00361CB2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Ergashev Erkin Juraevich</w:t>
            </w:r>
          </w:p>
        </w:tc>
        <w:tc>
          <w:tcPr>
            <w:tcW w:w="1701" w:type="dxa"/>
            <w:shd w:val="clear" w:color="auto" w:fill="FFFFFF" w:themeFill="background1"/>
          </w:tcPr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93-187-00-25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-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-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6409C9" w:rsidRDefault="006409C9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Chorshanba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15-00 dan</w:t>
            </w:r>
          </w:p>
          <w:p w:rsidR="00315CED" w:rsidRPr="00315CED" w:rsidRDefault="00315CED" w:rsidP="00315CED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16 gacha</w:t>
            </w:r>
          </w:p>
        </w:tc>
      </w:tr>
      <w:tr w:rsidR="00E60DFF" w:rsidRPr="00315CED" w:rsidTr="006409C9">
        <w:tc>
          <w:tcPr>
            <w:tcW w:w="552" w:type="dxa"/>
            <w:shd w:val="clear" w:color="auto" w:fill="FFFFFF" w:themeFill="background1"/>
          </w:tcPr>
          <w:p w:rsidR="00E60DFF" w:rsidRPr="00315CED" w:rsidRDefault="00E60DFF" w:rsidP="00E60DF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853" w:type="dxa"/>
            <w:shd w:val="clear" w:color="auto" w:fill="FFFFFF" w:themeFill="background1"/>
          </w:tcPr>
          <w:p w:rsidR="00E60DFF" w:rsidRPr="00315CED" w:rsidRDefault="00E60DFF" w:rsidP="00E60DFF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Kapital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q</w:t>
            </w: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urilish-montaj ishlari</w:t>
            </w:r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va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ijtimoiy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soha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” filiali “</w:t>
            </w:r>
          </w:p>
        </w:tc>
        <w:tc>
          <w:tcPr>
            <w:tcW w:w="2410" w:type="dxa"/>
            <w:shd w:val="clear" w:color="auto" w:fill="FFFFFF" w:themeFill="background1"/>
          </w:tcPr>
          <w:p w:rsidR="00A86ED3" w:rsidRPr="00315CED" w:rsidRDefault="00E60DFF" w:rsidP="00A86ED3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color w:val="212529"/>
                <w:sz w:val="20"/>
                <w:szCs w:val="20"/>
                <w:shd w:val="clear" w:color="auto" w:fill="F2F2F2"/>
                <w:lang w:val="uz-Cyrl-UZ"/>
              </w:rPr>
              <w:t xml:space="preserve"> </w:t>
            </w:r>
            <w:r w:rsidR="00A86ED3" w:rsidRPr="00315CED">
              <w:rPr>
                <w:rFonts w:ascii="Arial" w:hAnsi="Arial" w:cs="Arial"/>
                <w:sz w:val="20"/>
                <w:szCs w:val="20"/>
                <w:lang w:val="uz-Cyrl-UZ"/>
              </w:rPr>
              <w:t xml:space="preserve">Korxona kapital qurilish va ta’mirlash ishlarini amalga oshiradi, jumladan ishlab chiqarish ob’ektlari, avtomobil yo‘llari, konveyer liniyalari va suv chiqarish inshootlarini qurish, rekonstruksiya qilish hamda texnik qayta jihozlash bilan shug‘ullanadi. Asosiy </w:t>
            </w:r>
            <w:r w:rsidR="00A86ED3" w:rsidRPr="00315CED">
              <w:rPr>
                <w:rFonts w:ascii="Arial" w:hAnsi="Arial" w:cs="Arial"/>
                <w:sz w:val="20"/>
                <w:szCs w:val="20"/>
                <w:lang w:val="uz-Cyrl-UZ"/>
              </w:rPr>
              <w:lastRenderedPageBreak/>
              <w:t>ishlar “O‘zbekko‘mir” AJ ob’ektlarida bajariladi.</w:t>
            </w:r>
          </w:p>
          <w:p w:rsidR="00A86ED3" w:rsidRPr="00315CED" w:rsidRDefault="00A86ED3" w:rsidP="00A86ED3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Shuningdek, tovar-moddiy boyliklar va resurslarni xarid qilish, yetkazib berish va sotish hamda ijtimoiy soha obyektlari faoliyatini muvofiqlashtiradi.</w:t>
            </w:r>
          </w:p>
          <w:p w:rsidR="00A86ED3" w:rsidRPr="00315CED" w:rsidRDefault="00A86ED3" w:rsidP="00A86ED3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Korxona buyurtmalar asosida yillik kapital qurilish dasturini shakllantiradi, uning ijrosini nazorat qiladi va ob’ektlarni foydalanishga topshiradi.</w:t>
            </w:r>
          </w:p>
          <w:p w:rsidR="00E60DFF" w:rsidRPr="00315CED" w:rsidRDefault="00E60DFF" w:rsidP="00E60DFF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86ED3" w:rsidRPr="00361CB2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 w:rsidRPr="00361C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z-Cyrl-UZ" w:eastAsia="ru-RU"/>
              </w:rPr>
              <w:lastRenderedPageBreak/>
              <w:t>Funksiyalari:</w:t>
            </w:r>
          </w:p>
          <w:p w:rsidR="00361CB2" w:rsidRDefault="00361CB2" w:rsidP="00361CB2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r w:rsidR="00A86ED3" w:rsidRPr="00361CB2"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Sanoat, tog‘-kapital va fuqaro qurilishi, shu jumladan tog‘-kon sanoatida maxsus qurilish ishlarini amalga oshirish; </w:t>
            </w:r>
          </w:p>
          <w:p w:rsidR="00A86ED3" w:rsidRPr="00361CB2" w:rsidRDefault="00361CB2" w:rsidP="00361CB2">
            <w:pP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Qurilish-montaj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ishlarini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bajarish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turli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konstruksiyalar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temir-beton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metall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yog‘och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alyuminiy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beton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mahsulotlarini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="00A86ED3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Vakolatlari</w:t>
            </w:r>
            <w:proofErr w:type="spellEnd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: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Tarkibiy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linmalar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faoliyatini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operativ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boshqarish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resurslaridan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samarali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foydalanish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xo‘</w:t>
            </w:r>
            <w:proofErr w:type="gram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jalik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faoliyatiga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oid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farmoyishlar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376B9E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proofErr w:type="gram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Yoqilg‘</w:t>
            </w:r>
            <w:proofErr w:type="gram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i-moylash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materiallari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ta’minoti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tovar-moddiy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boyliklar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hisobi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saqlanishini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Xodimlar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uchun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zarur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mehnat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maishiy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sharoitlarni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yaratish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chiqarish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zaxiralari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me’yorlarini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belgilash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 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Texnik</w:t>
            </w:r>
            <w:proofErr w:type="spellEnd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faoliyati</w:t>
            </w:r>
            <w:proofErr w:type="spellEnd"/>
            <w:r w:rsidRPr="00315C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:</w:t>
            </w:r>
          </w:p>
          <w:p w:rsidR="00A86ED3" w:rsidRPr="00315CED" w:rsidRDefault="00A86ED3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uz-Latn-UZ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Loyiha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ma’lumotlarini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tayyorlash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taqdim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loyiha-smeta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hujjatlari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60DFF" w:rsidRPr="00315CED" w:rsidRDefault="00A86ED3" w:rsidP="00315CED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‒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Qurilish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ta’mirlash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ishga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tushirish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jarayonlari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ustidan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texnik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amalga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oshirish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61CB2" w:rsidRDefault="00361CB2" w:rsidP="00E60DFF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61CB2" w:rsidRDefault="00361CB2" w:rsidP="00E60DFF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61CB2" w:rsidRDefault="00361CB2" w:rsidP="00E60DFF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E60DFF" w:rsidRPr="00315CED" w:rsidRDefault="00E60DFF" w:rsidP="00E60DFF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Ernazarov Akramjon Axmedovich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FF" w:rsidRPr="00315CED" w:rsidRDefault="00E60DFF" w:rsidP="00E60DF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93-186-18-69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D30B43" w:rsidRPr="00315CED" w:rsidRDefault="00E60DFF" w:rsidP="00D30B43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Akromernazarov08gmail.com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:rsidR="00E60DFF" w:rsidRPr="00315CED" w:rsidRDefault="00E60DFF" w:rsidP="00E60DF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60DFF" w:rsidRPr="00315CED" w:rsidRDefault="00E60DFF" w:rsidP="00E60DF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gram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Telegram: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</w:rPr>
              <w:t>Akromjon</w:t>
            </w:r>
            <w:proofErr w:type="spellEnd"/>
            <w:proofErr w:type="gramEnd"/>
            <w:r w:rsidRPr="00315C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</w:rPr>
              <w:t>Ernazarov</w:t>
            </w:r>
            <w:proofErr w:type="spellEnd"/>
          </w:p>
          <w:p w:rsidR="00E60DFF" w:rsidRPr="00315CED" w:rsidRDefault="00E60DFF" w:rsidP="00E60DF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60DFF" w:rsidRPr="00315CED" w:rsidRDefault="000D308C" w:rsidP="00E60DF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Chorshanba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09:00dan 11:00gacha</w:t>
            </w:r>
          </w:p>
        </w:tc>
      </w:tr>
      <w:tr w:rsidR="0086650E" w:rsidRPr="00315CED" w:rsidTr="006409C9">
        <w:tc>
          <w:tcPr>
            <w:tcW w:w="552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853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Idoraviy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qo’riqlash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filiali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Qo‘riqlash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tizimini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tashkil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etish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va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boshqarish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moddiy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boyliklarning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saqlanishini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nazorat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qilish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huquqbuzarliklarning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oldini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olish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hamda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huquqni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muhofaza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qiluvchi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organlar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bilan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hamkorlik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qilish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bilan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shug‘ullanadi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:rsidR="0086650E" w:rsidRPr="00315CED" w:rsidRDefault="0086650E" w:rsidP="00315CED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Korxona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hududidagi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obyektlar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moddiy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boyliklar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xodimlar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xavfsizligini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maqsadida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qo‘</w:t>
            </w:r>
            <w:proofErr w:type="gram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riqlash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tizimini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ishlab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chiqish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joriy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xavf-xatarlarni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aniqlash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bartaraf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choralarini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ko‘rish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o‘g‘irlik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talonchilik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huquqbuzarliklarning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oldini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favqulodda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holatlarda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tezkor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choralar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ko‘rish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ichki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tartib-qoidalarga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rioya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etilishini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shug‘ullanadi</w:t>
            </w:r>
            <w:proofErr w:type="spellEnd"/>
            <w:r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  <w:p w:rsidR="0086650E" w:rsidRPr="00315CED" w:rsidRDefault="0086650E" w:rsidP="00315C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Xojamatov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Dilshod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Muhamatjonovich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(99) 477-00-85</w:t>
            </w:r>
          </w:p>
        </w:tc>
        <w:tc>
          <w:tcPr>
            <w:tcW w:w="1276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Seshanba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Soat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9:00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12:00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gacha</w:t>
            </w:r>
            <w:proofErr w:type="spellEnd"/>
          </w:p>
        </w:tc>
      </w:tr>
      <w:tr w:rsidR="0086650E" w:rsidRPr="006409C9" w:rsidTr="006409C9">
        <w:tc>
          <w:tcPr>
            <w:tcW w:w="552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853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“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Standartlash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sertifikatlash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va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sifat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nazorati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”</w:t>
            </w:r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filiali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86650E" w:rsidRPr="00315CED" w:rsidRDefault="0086650E" w:rsidP="0086650E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Standartlashtirish, mahsulot va xizmatlarni sertifikatlash hamda ularning sifatini nazorat qilish, shuningdek metrologik nazoratni ta’minlash bilan bog‘liq faoliyatni amalga oshiradi.</w:t>
            </w:r>
          </w:p>
        </w:tc>
        <w:tc>
          <w:tcPr>
            <w:tcW w:w="3827" w:type="dxa"/>
            <w:shd w:val="clear" w:color="auto" w:fill="FFFFFF" w:themeFill="background1"/>
          </w:tcPr>
          <w:p w:rsidR="00361CB2" w:rsidRDefault="00361CB2" w:rsidP="00361CB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Mahsulot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xizmatlarni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sertifikatlash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jarayonlarini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amalga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oshirish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86650E" w:rsidRPr="00315CED" w:rsidRDefault="00361CB2" w:rsidP="00361CB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Sifat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olib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borish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sifat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ko‘rsatkichlarini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baholash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361CB2" w:rsidRDefault="00361CB2" w:rsidP="00361CB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Laboratoriya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sinovlarini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o‘tkazish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86650E" w:rsidRPr="00361CB2" w:rsidRDefault="00361CB2" w:rsidP="00361CB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O‘lchash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vositalarining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aniqligi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ishonchliligini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ta’minlash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metrologik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nazorat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tekshiruvlarni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amalga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oshirish</w:t>
            </w:r>
            <w:proofErr w:type="spellEnd"/>
            <w:r w:rsidR="0086650E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Osmanova</w:t>
            </w:r>
            <w:proofErr w:type="spellEnd"/>
            <w:r w:rsidR="00361CB2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Yulya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Vladislavovna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Latn-UZ"/>
              </w:rPr>
              <w:t>93-381-65-01</w:t>
            </w:r>
          </w:p>
        </w:tc>
        <w:tc>
          <w:tcPr>
            <w:tcW w:w="1276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86650E" w:rsidRPr="00D30B43" w:rsidRDefault="00D30B43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hyperlink r:id="rId8" w:history="1">
              <w:r w:rsidRPr="000027D3">
                <w:rPr>
                  <w:rStyle w:val="a7"/>
                  <w:rFonts w:ascii="Arial" w:hAnsi="Arial" w:cs="Arial"/>
                  <w:bCs/>
                  <w:sz w:val="20"/>
                  <w:szCs w:val="20"/>
                  <w:lang w:val="uz-Cyrl-UZ"/>
                </w:rPr>
                <w:t>metrcoal@mail.ru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76B9E" w:rsidRDefault="00376B9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76B9E" w:rsidRDefault="00376B9E" w:rsidP="008665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76B9E" w:rsidRDefault="00376B9E" w:rsidP="008665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6650E" w:rsidRPr="00315CED" w:rsidRDefault="0086650E" w:rsidP="0086650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Chorshanba</w:t>
            </w:r>
            <w:proofErr w:type="spellEnd"/>
            <w:r w:rsidR="00361CB2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kuni</w:t>
            </w:r>
            <w:proofErr w:type="spellEnd"/>
            <w:r w:rsidR="00361CB2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soat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14:00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 xml:space="preserve"> 16:00 </w:t>
            </w:r>
            <w:proofErr w:type="spellStart"/>
            <w:r w:rsidRPr="00315CED">
              <w:rPr>
                <w:rFonts w:ascii="Arial" w:hAnsi="Arial" w:cs="Arial"/>
                <w:sz w:val="20"/>
                <w:szCs w:val="20"/>
                <w:lang w:val="en-US"/>
              </w:rPr>
              <w:t>gacha</w:t>
            </w:r>
            <w:proofErr w:type="spellEnd"/>
          </w:p>
        </w:tc>
      </w:tr>
      <w:tr w:rsidR="00E876D2" w:rsidRPr="00315CED" w:rsidTr="006409C9">
        <w:tc>
          <w:tcPr>
            <w:tcW w:w="552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853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“</w:t>
            </w:r>
            <w:proofErr w:type="spellStart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Axborot</w:t>
            </w:r>
            <w:proofErr w:type="spellEnd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kommunika</w:t>
            </w:r>
            <w:r w:rsidR="00361CB2">
              <w:rPr>
                <w:rFonts w:ascii="Arial" w:eastAsia="Calibri" w:hAnsi="Arial" w:cs="Arial"/>
                <w:sz w:val="20"/>
                <w:szCs w:val="20"/>
                <w:lang w:val="en-US"/>
              </w:rPr>
              <w:t>t</w:t>
            </w:r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siya</w:t>
            </w:r>
            <w:proofErr w:type="spellEnd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texnologiyalari</w:t>
            </w:r>
            <w:proofErr w:type="spellEnd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315CED">
              <w:rPr>
                <w:rFonts w:ascii="Arial" w:eastAsia="Calibri" w:hAnsi="Arial" w:cs="Arial"/>
                <w:sz w:val="20"/>
                <w:szCs w:val="20"/>
                <w:lang w:val="en-US"/>
              </w:rPr>
              <w:t>filiali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E876D2" w:rsidRPr="00315CED" w:rsidRDefault="00E876D2" w:rsidP="00E876D2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Korxona aloqa va kommunikatsiya vositalari, hisoblash texnikasi hamda ofis uskunalarini texnik jihatdan ishchi holatda saqlash va ta’mirlash bilan shug‘ullanadi.</w:t>
            </w:r>
          </w:p>
          <w:p w:rsidR="00E876D2" w:rsidRPr="00315CED" w:rsidRDefault="00E876D2" w:rsidP="00E876D2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Shuningdek, axborot tizimlarini joriy etish va qo‘llab-quvvatlash, serverlar, tarmoq va foydalanuvchi uskunalarining uzluksiz ishlashini hamda axborot xavfsizligini ta’minlaydi.</w:t>
            </w:r>
          </w:p>
          <w:p w:rsidR="00E876D2" w:rsidRPr="00315CED" w:rsidRDefault="00E876D2" w:rsidP="00315CED">
            <w:pPr>
              <w:pStyle w:val="a5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sz w:val="20"/>
                <w:szCs w:val="20"/>
                <w:lang w:val="uz-Cyrl-UZ"/>
              </w:rPr>
              <w:t>Bundan tashqari, raqamli yechimlarni ishlab chiqish, korporativ resurslar va ma’lumotlar bazalarini boshqarish, ma’lumotlarni zaxiralash va tiklash, shuningdek, mahalliy va shaharlararo aloqa liniyalarini ekspluatatsiya qilish va qurish bilan shug‘ullanadi.</w:t>
            </w:r>
          </w:p>
        </w:tc>
        <w:tc>
          <w:tcPr>
            <w:tcW w:w="3827" w:type="dxa"/>
            <w:shd w:val="clear" w:color="auto" w:fill="FFFFFF" w:themeFill="background1"/>
          </w:tcPr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Lokal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korporativ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tarmoqlarni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tashkil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hamda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qo‘llab-quvvatlash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 xml:space="preserve">–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Serverlar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ishchi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stansiyalarni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boshqarish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61C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Axborot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xavfsizligini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undan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foydalanishni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qilish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Dasturiy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ta’minotni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o‘rnatish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sozlash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yangilash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Texnik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uskunalarning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holatini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nazorat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qilish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E876D2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Raqamli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transformatsiya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loyihalarida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ishtirok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; </w:t>
            </w:r>
          </w:p>
          <w:p w:rsidR="00E876D2" w:rsidRPr="00315CED" w:rsidRDefault="00361CB2" w:rsidP="00361C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ru-RU"/>
              </w:rPr>
              <w:t>–</w:t>
            </w:r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Texnik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hujjatlar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va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hisobotlarni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yuritish</w:t>
            </w:r>
            <w:proofErr w:type="spellEnd"/>
            <w:r w:rsidR="00E876D2" w:rsidRPr="00315CE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Latn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Latn-UZ"/>
              </w:rPr>
              <w:t>Azimov Timur Rashidovich</w:t>
            </w:r>
          </w:p>
        </w:tc>
        <w:tc>
          <w:tcPr>
            <w:tcW w:w="1701" w:type="dxa"/>
            <w:shd w:val="clear" w:color="auto" w:fill="FFFFFF" w:themeFill="background1"/>
          </w:tcPr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(99)010-99-69</w:t>
            </w:r>
          </w:p>
        </w:tc>
        <w:tc>
          <w:tcPr>
            <w:tcW w:w="1276" w:type="dxa"/>
            <w:shd w:val="clear" w:color="auto" w:fill="FFFFFF" w:themeFill="background1"/>
          </w:tcPr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</w:p>
          <w:p w:rsidR="00E876D2" w:rsidRPr="00D30B43" w:rsidRDefault="00D30B43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hyperlink r:id="rId9" w:history="1">
              <w:r w:rsidRPr="000027D3">
                <w:rPr>
                  <w:rStyle w:val="a7"/>
                  <w:rFonts w:ascii="Arial" w:hAnsi="Arial" w:cs="Arial"/>
                  <w:bCs/>
                  <w:sz w:val="20"/>
                  <w:szCs w:val="20"/>
                  <w:lang w:val="uz-Cyrl-UZ"/>
                </w:rPr>
                <w:t>Azimovtimur@gmail.com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92" w:type="dxa"/>
            <w:shd w:val="clear" w:color="auto" w:fill="FFFFFF" w:themeFill="background1"/>
          </w:tcPr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376B9E" w:rsidRDefault="00376B9E" w:rsidP="00E876D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proofErr w:type="spellStart"/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Chor</w:t>
            </w:r>
            <w:proofErr w:type="spellEnd"/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 xml:space="preserve">shanba </w:t>
            </w: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Soat</w:t>
            </w:r>
          </w:p>
          <w:p w:rsidR="00376B9E" w:rsidRDefault="00E876D2" w:rsidP="00E876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09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  <w:r w:rsidRPr="00315CED">
              <w:rPr>
                <w:rFonts w:ascii="Arial" w:hAnsi="Arial" w:cs="Arial"/>
                <w:bCs/>
                <w:sz w:val="20"/>
                <w:szCs w:val="20"/>
              </w:rPr>
              <w:t xml:space="preserve">00 – </w:t>
            </w:r>
          </w:p>
          <w:p w:rsidR="00E876D2" w:rsidRPr="00315CED" w:rsidRDefault="00E876D2" w:rsidP="00E876D2">
            <w:pPr>
              <w:rPr>
                <w:rFonts w:ascii="Arial" w:hAnsi="Arial" w:cs="Arial"/>
                <w:bCs/>
                <w:sz w:val="20"/>
                <w:szCs w:val="20"/>
                <w:lang w:val="uz-Cyrl-UZ"/>
              </w:rPr>
            </w:pPr>
            <w:r w:rsidRPr="00315CE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15CED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Pr="00315CED">
              <w:rPr>
                <w:rFonts w:ascii="Arial" w:hAnsi="Arial" w:cs="Arial"/>
                <w:bCs/>
                <w:sz w:val="20"/>
                <w:szCs w:val="20"/>
              </w:rPr>
              <w:t>: 00</w:t>
            </w:r>
          </w:p>
        </w:tc>
      </w:tr>
      <w:bookmarkEnd w:id="0"/>
    </w:tbl>
    <w:p w:rsidR="00672896" w:rsidRPr="00315CED" w:rsidRDefault="00672896" w:rsidP="001E2597">
      <w:pPr>
        <w:spacing w:after="0"/>
        <w:rPr>
          <w:rFonts w:ascii="Arial" w:hAnsi="Arial" w:cs="Arial"/>
          <w:b/>
          <w:sz w:val="20"/>
          <w:szCs w:val="20"/>
          <w:lang w:val="uz-Cyrl-UZ"/>
        </w:rPr>
      </w:pPr>
    </w:p>
    <w:p w:rsidR="00217336" w:rsidRPr="00315CED" w:rsidRDefault="001E2597" w:rsidP="001E2597">
      <w:pPr>
        <w:tabs>
          <w:tab w:val="left" w:pos="426"/>
        </w:tabs>
        <w:spacing w:after="0"/>
        <w:ind w:right="-456" w:firstLine="426"/>
        <w:rPr>
          <w:rFonts w:ascii="Arial" w:hAnsi="Arial" w:cs="Arial"/>
          <w:b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sz w:val="20"/>
          <w:szCs w:val="20"/>
          <w:lang w:val="uz-Cyrl-UZ"/>
        </w:rPr>
        <w:t>Izoh</w:t>
      </w:r>
      <w:r w:rsidR="00593CCD" w:rsidRPr="00315CED">
        <w:rPr>
          <w:rFonts w:ascii="Arial" w:hAnsi="Arial" w:cs="Arial"/>
          <w:b/>
          <w:sz w:val="20"/>
          <w:szCs w:val="20"/>
          <w:lang w:val="uz-Cyrl-UZ"/>
        </w:rPr>
        <w:t xml:space="preserve">: </w:t>
      </w:r>
    </w:p>
    <w:p w:rsidR="00C839A9" w:rsidRPr="00315CED" w:rsidRDefault="00C839A9" w:rsidP="001E2597">
      <w:pPr>
        <w:tabs>
          <w:tab w:val="left" w:pos="426"/>
        </w:tabs>
        <w:spacing w:after="0" w:line="240" w:lineRule="auto"/>
        <w:ind w:right="-456" w:firstLine="426"/>
        <w:rPr>
          <w:rFonts w:ascii="Arial" w:hAnsi="Arial" w:cs="Arial"/>
          <w:bCs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sz w:val="20"/>
          <w:szCs w:val="20"/>
          <w:lang w:val="uz-Cyrl-UZ"/>
        </w:rPr>
        <w:t>1. 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Ma’lumotlar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har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bir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davlat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muassasasi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kesimida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alohida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shakllantirilib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davlat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organlari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va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tashkilotlarining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rasmiy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veb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>-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saytidagi</w:t>
      </w:r>
      <w:r w:rsidR="00580823"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alohida</w:t>
      </w:r>
      <w:r w:rsidR="00580823"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sahifasida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joylashtiriladi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>;</w:t>
      </w:r>
    </w:p>
    <w:p w:rsidR="00820A8A" w:rsidRPr="00315CED" w:rsidRDefault="00820A8A" w:rsidP="001E2597">
      <w:pPr>
        <w:tabs>
          <w:tab w:val="left" w:pos="426"/>
        </w:tabs>
        <w:spacing w:after="0"/>
        <w:ind w:right="-456" w:firstLine="426"/>
        <w:rPr>
          <w:rFonts w:ascii="Arial" w:hAnsi="Arial" w:cs="Arial"/>
          <w:bCs/>
          <w:sz w:val="20"/>
          <w:szCs w:val="20"/>
          <w:lang w:val="uz-Cyrl-UZ"/>
        </w:rPr>
      </w:pPr>
      <w:r w:rsidRPr="00315CED">
        <w:rPr>
          <w:rFonts w:ascii="Arial" w:hAnsi="Arial" w:cs="Arial"/>
          <w:b/>
          <w:sz w:val="20"/>
          <w:szCs w:val="20"/>
          <w:lang w:val="uz-Cyrl-UZ"/>
        </w:rPr>
        <w:t>2. 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Ma’lumotlar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har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chorak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yakunidan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keyingi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oyning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/>
          <w:sz w:val="20"/>
          <w:szCs w:val="20"/>
          <w:lang w:val="uz-Cyrl-UZ"/>
        </w:rPr>
        <w:t>o‘ninchi</w:t>
      </w:r>
      <w:r w:rsidRPr="00315CED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/>
          <w:sz w:val="20"/>
          <w:szCs w:val="20"/>
          <w:lang w:val="uz-Cyrl-UZ"/>
        </w:rPr>
        <w:t>sanasiga</w:t>
      </w:r>
      <w:r w:rsidRPr="00315CED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/>
          <w:sz w:val="20"/>
          <w:szCs w:val="20"/>
          <w:lang w:val="uz-Cyrl-UZ"/>
        </w:rPr>
        <w:t>qadar</w:t>
      </w:r>
      <w:r w:rsidRPr="00315CED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belgilangan</w:t>
      </w:r>
      <w:r w:rsidR="00361CB2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axborot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resursida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joylashtirib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borilishi</w:t>
      </w:r>
      <w:r w:rsidRPr="00315CED">
        <w:rPr>
          <w:rFonts w:ascii="Arial" w:hAnsi="Arial" w:cs="Arial"/>
          <w:bCs/>
          <w:sz w:val="20"/>
          <w:szCs w:val="20"/>
          <w:lang w:val="uz-Cyrl-UZ"/>
        </w:rPr>
        <w:t xml:space="preserve"> </w:t>
      </w:r>
      <w:r w:rsidR="001E2597" w:rsidRPr="00315CED">
        <w:rPr>
          <w:rFonts w:ascii="Arial" w:hAnsi="Arial" w:cs="Arial"/>
          <w:bCs/>
          <w:sz w:val="20"/>
          <w:szCs w:val="20"/>
          <w:lang w:val="uz-Cyrl-UZ"/>
        </w:rPr>
        <w:t>lozim</w:t>
      </w:r>
      <w:r w:rsidR="009D6FBA" w:rsidRPr="00315CED">
        <w:rPr>
          <w:rFonts w:ascii="Arial" w:hAnsi="Arial" w:cs="Arial"/>
          <w:bCs/>
          <w:sz w:val="20"/>
          <w:szCs w:val="20"/>
          <w:lang w:val="uz-Cyrl-UZ"/>
        </w:rPr>
        <w:t>.</w:t>
      </w:r>
    </w:p>
    <w:sectPr w:rsidR="00820A8A" w:rsidRPr="00315CE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FE5C84"/>
    <w:multiLevelType w:val="multilevel"/>
    <w:tmpl w:val="E4C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42EBF"/>
    <w:multiLevelType w:val="multilevel"/>
    <w:tmpl w:val="2252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D64E06"/>
    <w:multiLevelType w:val="multilevel"/>
    <w:tmpl w:val="F5CE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43D92"/>
    <w:multiLevelType w:val="multilevel"/>
    <w:tmpl w:val="B5EA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4415"/>
    <w:multiLevelType w:val="multilevel"/>
    <w:tmpl w:val="22F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9"/>
  </w:num>
  <w:num w:numId="7">
    <w:abstractNumId w:val="18"/>
  </w:num>
  <w:num w:numId="8">
    <w:abstractNumId w:val="24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25"/>
  </w:num>
  <w:num w:numId="14">
    <w:abstractNumId w:val="23"/>
  </w:num>
  <w:num w:numId="15">
    <w:abstractNumId w:val="22"/>
  </w:num>
  <w:num w:numId="16">
    <w:abstractNumId w:val="3"/>
  </w:num>
  <w:num w:numId="17">
    <w:abstractNumId w:val="16"/>
  </w:num>
  <w:num w:numId="18">
    <w:abstractNumId w:val="13"/>
  </w:num>
  <w:num w:numId="19">
    <w:abstractNumId w:val="4"/>
  </w:num>
  <w:num w:numId="20">
    <w:abstractNumId w:val="17"/>
  </w:num>
  <w:num w:numId="21">
    <w:abstractNumId w:val="15"/>
  </w:num>
  <w:num w:numId="22">
    <w:abstractNumId w:val="20"/>
  </w:num>
  <w:num w:numId="23">
    <w:abstractNumId w:val="14"/>
  </w:num>
  <w:num w:numId="24">
    <w:abstractNumId w:val="21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2BF9"/>
    <w:rsid w:val="0002289F"/>
    <w:rsid w:val="00025531"/>
    <w:rsid w:val="00025ACB"/>
    <w:rsid w:val="0004185C"/>
    <w:rsid w:val="00045D64"/>
    <w:rsid w:val="00055351"/>
    <w:rsid w:val="00057AE9"/>
    <w:rsid w:val="000927F5"/>
    <w:rsid w:val="000952FE"/>
    <w:rsid w:val="00095D14"/>
    <w:rsid w:val="00095F4B"/>
    <w:rsid w:val="000A18AD"/>
    <w:rsid w:val="000A746A"/>
    <w:rsid w:val="000B3610"/>
    <w:rsid w:val="000C1E89"/>
    <w:rsid w:val="000C561B"/>
    <w:rsid w:val="000C5EBF"/>
    <w:rsid w:val="000D308C"/>
    <w:rsid w:val="000D5E23"/>
    <w:rsid w:val="000E1819"/>
    <w:rsid w:val="000E52E0"/>
    <w:rsid w:val="00120E1B"/>
    <w:rsid w:val="00123590"/>
    <w:rsid w:val="001252D2"/>
    <w:rsid w:val="00134F8F"/>
    <w:rsid w:val="00135570"/>
    <w:rsid w:val="00161BA5"/>
    <w:rsid w:val="00172866"/>
    <w:rsid w:val="00176E98"/>
    <w:rsid w:val="001852E3"/>
    <w:rsid w:val="0018532D"/>
    <w:rsid w:val="0019674B"/>
    <w:rsid w:val="001A46FD"/>
    <w:rsid w:val="001A7C26"/>
    <w:rsid w:val="001B7E76"/>
    <w:rsid w:val="001D4C31"/>
    <w:rsid w:val="001E2597"/>
    <w:rsid w:val="001F7657"/>
    <w:rsid w:val="0021268C"/>
    <w:rsid w:val="00214255"/>
    <w:rsid w:val="00217336"/>
    <w:rsid w:val="00217CCD"/>
    <w:rsid w:val="00227F62"/>
    <w:rsid w:val="00244933"/>
    <w:rsid w:val="0024653A"/>
    <w:rsid w:val="002540F6"/>
    <w:rsid w:val="00254249"/>
    <w:rsid w:val="00273A04"/>
    <w:rsid w:val="00276E63"/>
    <w:rsid w:val="00291067"/>
    <w:rsid w:val="002B50F8"/>
    <w:rsid w:val="002B7387"/>
    <w:rsid w:val="002B7FB8"/>
    <w:rsid w:val="002C5FBE"/>
    <w:rsid w:val="002E2F6C"/>
    <w:rsid w:val="002E46DB"/>
    <w:rsid w:val="002F10D1"/>
    <w:rsid w:val="002F2F51"/>
    <w:rsid w:val="00304B6E"/>
    <w:rsid w:val="00314DFE"/>
    <w:rsid w:val="00315CED"/>
    <w:rsid w:val="00327473"/>
    <w:rsid w:val="00352FB3"/>
    <w:rsid w:val="00361CB2"/>
    <w:rsid w:val="003713A8"/>
    <w:rsid w:val="00372860"/>
    <w:rsid w:val="003760A2"/>
    <w:rsid w:val="00376B9E"/>
    <w:rsid w:val="00381590"/>
    <w:rsid w:val="00390BC6"/>
    <w:rsid w:val="0039274D"/>
    <w:rsid w:val="00392D8E"/>
    <w:rsid w:val="003B798D"/>
    <w:rsid w:val="003C045D"/>
    <w:rsid w:val="003C0D00"/>
    <w:rsid w:val="003D25A0"/>
    <w:rsid w:val="003D2C27"/>
    <w:rsid w:val="003D6788"/>
    <w:rsid w:val="003F123E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A494A"/>
    <w:rsid w:val="004B5269"/>
    <w:rsid w:val="004B7CBA"/>
    <w:rsid w:val="004C53E4"/>
    <w:rsid w:val="004E22F8"/>
    <w:rsid w:val="0050209F"/>
    <w:rsid w:val="0050316D"/>
    <w:rsid w:val="005207F4"/>
    <w:rsid w:val="00531DC5"/>
    <w:rsid w:val="0054176C"/>
    <w:rsid w:val="00567098"/>
    <w:rsid w:val="00570317"/>
    <w:rsid w:val="005731EC"/>
    <w:rsid w:val="00580823"/>
    <w:rsid w:val="00582272"/>
    <w:rsid w:val="00593CCD"/>
    <w:rsid w:val="005A239B"/>
    <w:rsid w:val="005B0526"/>
    <w:rsid w:val="005C1964"/>
    <w:rsid w:val="005C1E1D"/>
    <w:rsid w:val="005C4E17"/>
    <w:rsid w:val="005C69B6"/>
    <w:rsid w:val="005D1864"/>
    <w:rsid w:val="005E0CB8"/>
    <w:rsid w:val="005E2455"/>
    <w:rsid w:val="005E64CB"/>
    <w:rsid w:val="006151A2"/>
    <w:rsid w:val="0063587B"/>
    <w:rsid w:val="00636DE8"/>
    <w:rsid w:val="006409C9"/>
    <w:rsid w:val="00646CA8"/>
    <w:rsid w:val="00657BDF"/>
    <w:rsid w:val="00667855"/>
    <w:rsid w:val="00672896"/>
    <w:rsid w:val="00675AC5"/>
    <w:rsid w:val="00694D01"/>
    <w:rsid w:val="006A111B"/>
    <w:rsid w:val="006A361E"/>
    <w:rsid w:val="006B06CD"/>
    <w:rsid w:val="006C6E85"/>
    <w:rsid w:val="006D48FF"/>
    <w:rsid w:val="006D6228"/>
    <w:rsid w:val="006F0627"/>
    <w:rsid w:val="006F0B99"/>
    <w:rsid w:val="00707649"/>
    <w:rsid w:val="0071089B"/>
    <w:rsid w:val="00726108"/>
    <w:rsid w:val="00731D65"/>
    <w:rsid w:val="00731E38"/>
    <w:rsid w:val="00732C68"/>
    <w:rsid w:val="007606FC"/>
    <w:rsid w:val="00760A1D"/>
    <w:rsid w:val="00774526"/>
    <w:rsid w:val="00777440"/>
    <w:rsid w:val="007940B3"/>
    <w:rsid w:val="007A235C"/>
    <w:rsid w:val="007A25A0"/>
    <w:rsid w:val="007A5408"/>
    <w:rsid w:val="007B6F4E"/>
    <w:rsid w:val="007C2B59"/>
    <w:rsid w:val="007D154B"/>
    <w:rsid w:val="007D3BBE"/>
    <w:rsid w:val="007F0E09"/>
    <w:rsid w:val="00810CC2"/>
    <w:rsid w:val="0081217D"/>
    <w:rsid w:val="0081553E"/>
    <w:rsid w:val="00820A8A"/>
    <w:rsid w:val="00820EFF"/>
    <w:rsid w:val="00823BB6"/>
    <w:rsid w:val="008248A2"/>
    <w:rsid w:val="008277E2"/>
    <w:rsid w:val="00844417"/>
    <w:rsid w:val="00850728"/>
    <w:rsid w:val="00855C41"/>
    <w:rsid w:val="00857AA6"/>
    <w:rsid w:val="0086650E"/>
    <w:rsid w:val="00873DC0"/>
    <w:rsid w:val="00891F4F"/>
    <w:rsid w:val="008A11DA"/>
    <w:rsid w:val="008C006B"/>
    <w:rsid w:val="008D295C"/>
    <w:rsid w:val="008D2EA4"/>
    <w:rsid w:val="008D5481"/>
    <w:rsid w:val="008D55A8"/>
    <w:rsid w:val="0091316D"/>
    <w:rsid w:val="00943764"/>
    <w:rsid w:val="00944828"/>
    <w:rsid w:val="00947B96"/>
    <w:rsid w:val="009569A4"/>
    <w:rsid w:val="00964F27"/>
    <w:rsid w:val="0096688C"/>
    <w:rsid w:val="009668F9"/>
    <w:rsid w:val="00970097"/>
    <w:rsid w:val="00985DA7"/>
    <w:rsid w:val="009A0A4F"/>
    <w:rsid w:val="009A41E9"/>
    <w:rsid w:val="009D6FBA"/>
    <w:rsid w:val="009E04DD"/>
    <w:rsid w:val="009E0E85"/>
    <w:rsid w:val="00A03CED"/>
    <w:rsid w:val="00A112AF"/>
    <w:rsid w:val="00A127E6"/>
    <w:rsid w:val="00A24E06"/>
    <w:rsid w:val="00A31AC9"/>
    <w:rsid w:val="00A32685"/>
    <w:rsid w:val="00A363A8"/>
    <w:rsid w:val="00A43499"/>
    <w:rsid w:val="00A57D4F"/>
    <w:rsid w:val="00A75539"/>
    <w:rsid w:val="00A80EC1"/>
    <w:rsid w:val="00A86ED3"/>
    <w:rsid w:val="00A916F8"/>
    <w:rsid w:val="00AA4BEF"/>
    <w:rsid w:val="00AA4F01"/>
    <w:rsid w:val="00AB18AF"/>
    <w:rsid w:val="00AB2CBC"/>
    <w:rsid w:val="00AF2710"/>
    <w:rsid w:val="00B06321"/>
    <w:rsid w:val="00B11300"/>
    <w:rsid w:val="00B16F09"/>
    <w:rsid w:val="00B221BC"/>
    <w:rsid w:val="00B245AF"/>
    <w:rsid w:val="00B30912"/>
    <w:rsid w:val="00B52546"/>
    <w:rsid w:val="00B660EC"/>
    <w:rsid w:val="00B72DD8"/>
    <w:rsid w:val="00B75B71"/>
    <w:rsid w:val="00BA20A7"/>
    <w:rsid w:val="00BA5C74"/>
    <w:rsid w:val="00BD31C8"/>
    <w:rsid w:val="00BE0658"/>
    <w:rsid w:val="00BE0F3D"/>
    <w:rsid w:val="00BE28FE"/>
    <w:rsid w:val="00C24F8E"/>
    <w:rsid w:val="00C31AAD"/>
    <w:rsid w:val="00C67686"/>
    <w:rsid w:val="00C676F1"/>
    <w:rsid w:val="00C74D42"/>
    <w:rsid w:val="00C81974"/>
    <w:rsid w:val="00C839A9"/>
    <w:rsid w:val="00CA096D"/>
    <w:rsid w:val="00CA40AB"/>
    <w:rsid w:val="00CA58E0"/>
    <w:rsid w:val="00CB0C3D"/>
    <w:rsid w:val="00CB34C9"/>
    <w:rsid w:val="00CB7040"/>
    <w:rsid w:val="00CC668A"/>
    <w:rsid w:val="00CC720D"/>
    <w:rsid w:val="00CD089C"/>
    <w:rsid w:val="00CD178E"/>
    <w:rsid w:val="00CD6612"/>
    <w:rsid w:val="00D04730"/>
    <w:rsid w:val="00D06ADC"/>
    <w:rsid w:val="00D2068D"/>
    <w:rsid w:val="00D244C2"/>
    <w:rsid w:val="00D30B43"/>
    <w:rsid w:val="00D50287"/>
    <w:rsid w:val="00D76A9C"/>
    <w:rsid w:val="00D857E1"/>
    <w:rsid w:val="00D85CE1"/>
    <w:rsid w:val="00D92FC4"/>
    <w:rsid w:val="00DC5701"/>
    <w:rsid w:val="00DD1FF2"/>
    <w:rsid w:val="00DD293A"/>
    <w:rsid w:val="00DD38EC"/>
    <w:rsid w:val="00DD6A53"/>
    <w:rsid w:val="00DD72ED"/>
    <w:rsid w:val="00DE4946"/>
    <w:rsid w:val="00DE6035"/>
    <w:rsid w:val="00DF04AA"/>
    <w:rsid w:val="00DF22D6"/>
    <w:rsid w:val="00DF304C"/>
    <w:rsid w:val="00DF3326"/>
    <w:rsid w:val="00DF6689"/>
    <w:rsid w:val="00DF7734"/>
    <w:rsid w:val="00E031A3"/>
    <w:rsid w:val="00E04868"/>
    <w:rsid w:val="00E12B9A"/>
    <w:rsid w:val="00E26009"/>
    <w:rsid w:val="00E32258"/>
    <w:rsid w:val="00E50666"/>
    <w:rsid w:val="00E60DFF"/>
    <w:rsid w:val="00E739F4"/>
    <w:rsid w:val="00E74E43"/>
    <w:rsid w:val="00E876D2"/>
    <w:rsid w:val="00E95D63"/>
    <w:rsid w:val="00EB18A0"/>
    <w:rsid w:val="00ED538B"/>
    <w:rsid w:val="00F00099"/>
    <w:rsid w:val="00F00CD8"/>
    <w:rsid w:val="00F0135A"/>
    <w:rsid w:val="00F3299F"/>
    <w:rsid w:val="00F3363B"/>
    <w:rsid w:val="00F349AE"/>
    <w:rsid w:val="00F419FD"/>
    <w:rsid w:val="00F43F3C"/>
    <w:rsid w:val="00F720A9"/>
    <w:rsid w:val="00F7667F"/>
    <w:rsid w:val="00F802E7"/>
    <w:rsid w:val="00F85880"/>
    <w:rsid w:val="00F870EF"/>
    <w:rsid w:val="00F93FEB"/>
    <w:rsid w:val="00FA259A"/>
    <w:rsid w:val="00FB637B"/>
    <w:rsid w:val="00FC7C3D"/>
    <w:rsid w:val="00FE4AF5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D74A"/>
  <w15:docId w15:val="{6D3BACCD-C364-4F94-A6DF-7219558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customStyle="1" w:styleId="s1">
    <w:name w:val="s_1"/>
    <w:basedOn w:val="a"/>
    <w:uiPriority w:val="99"/>
    <w:rsid w:val="00DD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8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650E"/>
    <w:rPr>
      <w:b/>
      <w:bCs/>
    </w:rPr>
  </w:style>
  <w:style w:type="character" w:styleId="a7">
    <w:name w:val="Hyperlink"/>
    <w:basedOn w:val="a0"/>
    <w:uiPriority w:val="99"/>
    <w:unhideWhenUsed/>
    <w:rsid w:val="00640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rcoal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kimov220975@gmail.k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ismanov300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imovtim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2DA5-7475-4948-B171-272E294E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3</cp:revision>
  <dcterms:created xsi:type="dcterms:W3CDTF">2026-04-21T05:18:00Z</dcterms:created>
  <dcterms:modified xsi:type="dcterms:W3CDTF">2026-04-21T05:19:00Z</dcterms:modified>
</cp:coreProperties>
</file>